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4D" w:rsidRDefault="00E27C4D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</w:p>
    <w:p w:rsidR="00E27C4D" w:rsidRDefault="00E27C4D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  <w:r>
        <w:rPr>
          <w:rFonts w:ascii="Arial" w:hAnsi="Arial" w:cs="Arial"/>
          <w:b/>
          <w:color w:val="FFC000"/>
          <w:sz w:val="22"/>
          <w:szCs w:val="22"/>
          <w:lang w:val="tr-TR"/>
        </w:rPr>
        <w:t xml:space="preserve">İlgi link:   </w:t>
      </w:r>
      <w:r w:rsidRPr="00E27C4D">
        <w:rPr>
          <w:rFonts w:ascii="Arial" w:hAnsi="Arial" w:cs="Arial"/>
          <w:b/>
          <w:color w:val="FFC000"/>
          <w:sz w:val="22"/>
          <w:szCs w:val="22"/>
          <w:lang w:val="tr-TR"/>
        </w:rPr>
        <w:t>http://www.ab-ilan.com/programlardan-haberler/haber/programlardan-haberler/ikg-operasyonel-programi-teklif-cagrisi-002059</w:t>
      </w:r>
    </w:p>
    <w:p w:rsidR="00E27C4D" w:rsidRDefault="00E27C4D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noProof/>
          <w:color w:val="696969"/>
          <w:sz w:val="20"/>
          <w:szCs w:val="20"/>
          <w:lang w:val="tr-TR" w:eastAsia="tr-TR"/>
        </w:rPr>
        <w:drawing>
          <wp:inline distT="0" distB="0" distL="0" distR="0" wp14:anchorId="0997C59B" wp14:editId="1E847665">
            <wp:extent cx="5050155" cy="956945"/>
            <wp:effectExtent l="0" t="0" r="0" b="0"/>
            <wp:docPr id="2" name="Resim 2" descr="http://www.ab.gov.tr/files/Duyurular/Jean_Monnet/Jean_Monnet_2005/banner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.gov.tr/files/Duyurular/Jean_Monnet/Jean_Monnet_2005/banner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IPA IV. Bileşeni altında yer alan İnsan Kaynaklarının Geliştirilmesi </w:t>
      </w:r>
      <w:proofErr w:type="spellStart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Operasyonel</w:t>
      </w:r>
      <w:proofErr w:type="spellEnd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Programı kapsamında </w:t>
      </w: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>“Operasyon Teklif Çağrısı”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yayınlanmıştır. İKG OP öncelik eksenleri altında hazırlanacak yeni operasyonların fonlanması planlanmaktadır.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Operasyonun 4 öncelik alanı aşağıdaki gibidir: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1: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Özellikle kadın istihdamını artırarak ve genç işsizlik oranlarını düşürerek iş gücüne daha fazla kişi kazandırmak.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2: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Eğitimin kalitesini geliştirmek ve işgücü piyasası ile eğitim arasındaki bağları güçlendirerek ve özellikle de kızlarda eğitimin tüm seviyelerine kayıt düzeyini artırarak beşeri sermayeye katkıda bulunmak.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3: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İşçilerin, kurum ve girişimcilerin uyum yeteneğini artırmak için özellikle </w:t>
      </w:r>
      <w:proofErr w:type="spellStart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Hayatboyu</w:t>
      </w:r>
      <w:proofErr w:type="spellEnd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öğrenmenin desteklenmesi ve şirketler ve işçiler tarafından insan kaynakları yatırımlarının teşvik edilmesine yönelik faaliyetler.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4: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Dezavantajlı kesimlere işgücü piyasasında sürdürülebilir sağlayan ve her türlü ayrımcılığa karşı mücadele </w:t>
      </w:r>
      <w:proofErr w:type="gramStart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imkanı</w:t>
      </w:r>
      <w:proofErr w:type="gramEnd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tanıyan ve fırsatlar yaratan bir işgücü piyasasının geliştirilmesine yönelik çalışmalar.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Fonların coğrafi dağılımı tüm Türkiye’yi kapsamaktadır ve 2 öncelikli bölge kapsamında %50 oranında paylaştırılmıştır. Bu bölgeler: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>Öncelikli Bölge 1: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12 NUTS II düzey bölgesi.</w:t>
      </w:r>
    </w:p>
    <w:tbl>
      <w:tblPr>
        <w:tblpPr w:leftFromText="45" w:rightFromText="45" w:vertAnchor="text"/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800"/>
      </w:tblGrid>
      <w:tr w:rsidR="00FE606B" w:rsidRPr="00FE606B" w:rsidTr="00FE606B"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  <w:lang w:val="tr-TR" w:eastAsia="tr-TR"/>
              </w:rPr>
              <w:t>TABLO-1: 12 NUTS II DÜZEY BÖLGESİ (öncelik alanı 1)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  <w:lang w:val="tr-TR" w:eastAsia="tr-TR"/>
              </w:rPr>
              <w:t>Bölge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  <w:lang w:val="tr-TR" w:eastAsia="tr-TR"/>
              </w:rPr>
              <w:t>İller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A1: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Erzurum, Bayburt, Erzincan,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A2: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Kars, Ağrı, Ardahan, Iğdır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lastRenderedPageBreak/>
              <w:t>TR B1: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Malatya, Elazığ, Bingöl, Tunceli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B2: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 xml:space="preserve">Van, Bitlis, </w:t>
            </w:r>
            <w:proofErr w:type="gramStart"/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Hakkari</w:t>
            </w:r>
            <w:proofErr w:type="gramEnd"/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, Muş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C1: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Gaziantep, Adıyaman, Kilis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C2: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Diyarbakır, Şanlıurfa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C3: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Batman, Mardin, Siirt, Şırnak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63: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Kahramanmaraş, Hatay, Osmaniye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72: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Kayseri, Sivas, Yozgat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82: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Kastamonu, Çankırı, Sinop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83: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Samsun, Amasya, Çorum, Tokat</w:t>
            </w:r>
          </w:p>
        </w:tc>
      </w:tr>
      <w:tr w:rsidR="00FE606B" w:rsidRPr="00FE606B" w:rsidTr="00FE606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 90: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6B" w:rsidRPr="00FE606B" w:rsidRDefault="00FE606B" w:rsidP="00FE606B">
            <w:pPr>
              <w:spacing w:before="100" w:beforeAutospacing="1" w:after="240" w:line="255" w:lineRule="atLeast"/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</w:pPr>
            <w:r w:rsidRPr="00FE606B">
              <w:rPr>
                <w:rFonts w:ascii="Arial" w:eastAsia="Times New Roman" w:hAnsi="Arial" w:cs="Arial"/>
                <w:color w:val="696969"/>
                <w:sz w:val="20"/>
                <w:szCs w:val="20"/>
                <w:lang w:val="tr-TR" w:eastAsia="tr-TR"/>
              </w:rPr>
              <w:t>Trabzon, Artvin, Giresun, Gümüşhane, Ordu, Rize</w:t>
            </w:r>
          </w:p>
        </w:tc>
      </w:tr>
    </w:tbl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>Öncelikli Bölge 2: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Kalan 14 NUTS II düzey bölgesi.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Operasyonlara uygun başvuru sahipleri aşağıdaki gibidir: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Anayasanın 135. Maddesinde belirtilen Kamu Kurumu Niteliğindeki Meslek Kuruluşları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Kalkınma Ajansları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Ulusal düzeyde örgütlenmiş işveren örgütleri ve işçi sendikaları konfederasyonları (Türkiye ve AB Üye Devletler)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Büyükşehir Belediyeleri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Üniversiteler</w:t>
      </w:r>
    </w:p>
    <w:p w:rsidR="00FE606B" w:rsidRPr="00FE606B" w:rsidRDefault="00FE606B" w:rsidP="00FE606B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Talep edilen fon miktarı düzeyinde en az 1 proje tamamlamış olan STK’lar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proofErr w:type="spellStart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Operasyonel</w:t>
      </w:r>
      <w:proofErr w:type="spellEnd"/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Programlar için ayrılan bütçe toplam </w:t>
      </w: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>144 milyon Avro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 ’dur ve bu meblağ öncelik alanlarına göre aşağıdaki şekilde bölünmüştür.</w:t>
      </w:r>
    </w:p>
    <w:p w:rsidR="00FE606B" w:rsidRPr="00FE606B" w:rsidRDefault="00FE606B" w:rsidP="00FE606B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1: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63 milyon Avro</w:t>
      </w:r>
    </w:p>
    <w:p w:rsidR="00FE606B" w:rsidRPr="00FE606B" w:rsidRDefault="00FE606B" w:rsidP="00FE606B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2: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28 milyon Avro</w:t>
      </w:r>
    </w:p>
    <w:p w:rsidR="00FE606B" w:rsidRPr="00FE606B" w:rsidRDefault="00FE606B" w:rsidP="00FE606B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3: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33 milyon Avro</w:t>
      </w:r>
    </w:p>
    <w:p w:rsidR="00FE606B" w:rsidRPr="00FE606B" w:rsidRDefault="00FE606B" w:rsidP="00FE606B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Öncelik 4: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20 milyon Avro 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Bu çağrı kapsamında finanse edilen operasyonların uygulama süresi en fazla 24 Ay olabilir.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Operasyon Teklif Çağrısı kapsamında Ankara’da 4 Şubat 2013 tarihinde bilgilendirme günü, 5-6 Şubat 2013 tarihlerinde ise Proje Başvuru Belgesi (OIS) Hazırlama eğitimi düzenlenecektir.</w:t>
      </w:r>
    </w:p>
    <w:p w:rsidR="00FE606B" w:rsidRPr="00FE606B" w:rsidRDefault="00FE606B" w:rsidP="00FE606B">
      <w:pPr>
        <w:spacing w:before="100" w:beforeAutospacing="1" w:after="240" w:line="255" w:lineRule="atLeast"/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</w:pP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 xml:space="preserve">Operasyonlara başvurular </w:t>
      </w:r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Çalışma ve Sosyal Güvenlik Bakanlığı’na </w:t>
      </w:r>
      <w:proofErr w:type="gramStart"/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>25/02/2013</w:t>
      </w:r>
      <w:proofErr w:type="gramEnd"/>
      <w:r w:rsidRPr="00FE606B">
        <w:rPr>
          <w:rFonts w:ascii="Arial" w:eastAsia="Times New Roman" w:hAnsi="Arial" w:cs="Arial"/>
          <w:b/>
          <w:bCs/>
          <w:color w:val="696969"/>
          <w:sz w:val="20"/>
          <w:szCs w:val="20"/>
          <w:lang w:val="tr-TR" w:eastAsia="tr-TR"/>
        </w:rPr>
        <w:t xml:space="preserve"> </w:t>
      </w:r>
      <w:r w:rsidRPr="00FE606B">
        <w:rPr>
          <w:rFonts w:ascii="Arial" w:eastAsia="Times New Roman" w:hAnsi="Arial" w:cs="Arial"/>
          <w:color w:val="696969"/>
          <w:sz w:val="20"/>
          <w:szCs w:val="20"/>
          <w:lang w:val="tr-TR" w:eastAsia="tr-TR"/>
        </w:rPr>
        <w:t>saat 16:00 tarihine kadar gerçekleştirilmelidir.</w:t>
      </w:r>
    </w:p>
    <w:p w:rsidR="00E27C4D" w:rsidRDefault="00E27C4D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  <w:bookmarkStart w:id="0" w:name="_GoBack"/>
      <w:bookmarkEnd w:id="0"/>
    </w:p>
    <w:p w:rsidR="00FE606B" w:rsidRDefault="00FE606B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</w:p>
    <w:p w:rsidR="00FE606B" w:rsidRDefault="00FE606B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</w:p>
    <w:p w:rsidR="00FE606B" w:rsidRDefault="00FE606B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</w:p>
    <w:p w:rsidR="00886C7B" w:rsidRDefault="00886C7B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  <w:r w:rsidRPr="00CC32C5">
        <w:rPr>
          <w:rFonts w:ascii="Arial" w:hAnsi="Arial" w:cs="Arial"/>
          <w:b/>
          <w:color w:val="FFC000"/>
          <w:sz w:val="22"/>
          <w:szCs w:val="22"/>
          <w:lang w:val="tr-TR"/>
        </w:rPr>
        <w:t>İNSAN KAYNAKLARININ GELİŞTİRİLMESİ OPERASYON</w:t>
      </w:r>
      <w:r>
        <w:rPr>
          <w:rFonts w:ascii="Arial" w:hAnsi="Arial" w:cs="Arial"/>
          <w:b/>
          <w:color w:val="FFC000"/>
          <w:sz w:val="22"/>
          <w:szCs w:val="22"/>
          <w:lang w:val="tr-TR"/>
        </w:rPr>
        <w:t>EL PROGRAMI</w:t>
      </w:r>
    </w:p>
    <w:p w:rsidR="00886C7B" w:rsidRPr="00CC32C5" w:rsidRDefault="00886C7B" w:rsidP="00886C7B">
      <w:pPr>
        <w:spacing w:line="360" w:lineRule="auto"/>
        <w:jc w:val="center"/>
        <w:rPr>
          <w:rFonts w:ascii="Arial" w:hAnsi="Arial" w:cs="Arial"/>
          <w:b/>
          <w:color w:val="FFC000"/>
          <w:sz w:val="22"/>
          <w:szCs w:val="22"/>
          <w:lang w:val="tr-TR"/>
        </w:rPr>
      </w:pPr>
      <w:r>
        <w:rPr>
          <w:rFonts w:ascii="Arial" w:hAnsi="Arial" w:cs="Arial"/>
          <w:b/>
          <w:color w:val="FFC000"/>
          <w:sz w:val="22"/>
          <w:szCs w:val="22"/>
          <w:lang w:val="tr-TR"/>
        </w:rPr>
        <w:t>OPERASYON</w:t>
      </w:r>
      <w:r w:rsidRPr="00CC32C5">
        <w:rPr>
          <w:rFonts w:ascii="Arial" w:hAnsi="Arial" w:cs="Arial"/>
          <w:b/>
          <w:color w:val="FFC000"/>
          <w:sz w:val="22"/>
          <w:szCs w:val="22"/>
          <w:lang w:val="tr-TR"/>
        </w:rPr>
        <w:t xml:space="preserve"> TEKLİF ÇAĞRISI</w:t>
      </w:r>
    </w:p>
    <w:p w:rsidR="00886C7B" w:rsidRDefault="00886C7B" w:rsidP="00886C7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86C7B" w:rsidRDefault="00886C7B" w:rsidP="00886C7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86C7B" w:rsidRPr="00CC32C5" w:rsidRDefault="00886C7B" w:rsidP="00886C7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CC32C5">
        <w:rPr>
          <w:rFonts w:ascii="Arial" w:hAnsi="Arial" w:cs="Arial"/>
          <w:b/>
          <w:sz w:val="22"/>
          <w:szCs w:val="22"/>
          <w:lang w:val="tr-TR"/>
        </w:rPr>
        <w:t>OPERASYON KAPSAMINDA UYGUN BAŞVURU SAHİPLERİ KİMLERDİR?</w:t>
      </w:r>
    </w:p>
    <w:p w:rsidR="00886C7B" w:rsidRDefault="00886C7B" w:rsidP="00886C7B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K</w:t>
      </w:r>
      <w:r w:rsidRPr="00CC32C5">
        <w:rPr>
          <w:rFonts w:ascii="Arial" w:hAnsi="Arial" w:cs="Arial"/>
          <w:sz w:val="22"/>
          <w:szCs w:val="22"/>
          <w:lang w:val="tr-TR"/>
        </w:rPr>
        <w:t xml:space="preserve">amu kurumu niteliğindeki meslek kuruluşlarının üst kuruluşları (TC Anayasası Madde:135),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CC32C5">
        <w:rPr>
          <w:rFonts w:ascii="Arial" w:hAnsi="Arial" w:cs="Arial"/>
          <w:sz w:val="22"/>
          <w:szCs w:val="22"/>
          <w:lang w:val="tr-TR"/>
        </w:rPr>
        <w:lastRenderedPageBreak/>
        <w:t xml:space="preserve">Organize Sanayi Bölgeleri (OSB),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</w:t>
      </w:r>
      <w:r w:rsidRPr="00CC32C5">
        <w:rPr>
          <w:rFonts w:ascii="Arial" w:hAnsi="Arial" w:cs="Arial"/>
          <w:sz w:val="22"/>
          <w:szCs w:val="22"/>
          <w:lang w:val="tr-TR"/>
        </w:rPr>
        <w:t xml:space="preserve">ölgesel kalkınma ajansları,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U</w:t>
      </w:r>
      <w:r w:rsidRPr="00CC32C5">
        <w:rPr>
          <w:rFonts w:ascii="Arial" w:hAnsi="Arial" w:cs="Arial"/>
          <w:sz w:val="22"/>
          <w:szCs w:val="22"/>
          <w:lang w:val="tr-TR"/>
        </w:rPr>
        <w:t xml:space="preserve">lusal düzeyde örgütlenmiş işveren organizasyonları ve sendika konfederasyonları (hem Türkiye hem AB üye ülkelerinde),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Büyükşehir B</w:t>
      </w:r>
      <w:r w:rsidRPr="00CC32C5">
        <w:rPr>
          <w:rFonts w:ascii="Arial" w:hAnsi="Arial" w:cs="Arial"/>
          <w:sz w:val="22"/>
          <w:szCs w:val="22"/>
          <w:lang w:val="tr-TR"/>
        </w:rPr>
        <w:t xml:space="preserve">elediyeleri, 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Ü</w:t>
      </w:r>
      <w:r w:rsidRPr="00CC32C5">
        <w:rPr>
          <w:rFonts w:ascii="Arial" w:hAnsi="Arial" w:cs="Arial"/>
          <w:sz w:val="22"/>
          <w:szCs w:val="22"/>
          <w:lang w:val="tr-TR"/>
        </w:rPr>
        <w:t xml:space="preserve">niversiteler, </w:t>
      </w:r>
    </w:p>
    <w:p w:rsidR="00886C7B" w:rsidRDefault="00886C7B" w:rsidP="00886C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En az talep ettiği fon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büyüklüklüğünde</w:t>
      </w:r>
      <w:proofErr w:type="spellEnd"/>
      <w:r w:rsidRPr="00CC32C5">
        <w:rPr>
          <w:rFonts w:ascii="Arial" w:hAnsi="Arial" w:cs="Arial"/>
          <w:sz w:val="22"/>
          <w:szCs w:val="22"/>
          <w:lang w:val="tr-TR"/>
        </w:rPr>
        <w:t xml:space="preserve"> bir proje uygulamış ve tamamlamış olan </w:t>
      </w:r>
      <w:r>
        <w:rPr>
          <w:rFonts w:ascii="Arial" w:hAnsi="Arial" w:cs="Arial"/>
          <w:sz w:val="22"/>
          <w:szCs w:val="22"/>
          <w:lang w:val="tr-TR"/>
        </w:rPr>
        <w:t>sivil toplum kuruluşları (STK).</w:t>
      </w:r>
    </w:p>
    <w:p w:rsidR="005B2ADF" w:rsidRDefault="005B2ADF"/>
    <w:sectPr w:rsidR="005B2ADF" w:rsidSect="00937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00" w:rsidRDefault="00C47400">
      <w:r>
        <w:separator/>
      </w:r>
    </w:p>
  </w:endnote>
  <w:endnote w:type="continuationSeparator" w:id="0">
    <w:p w:rsidR="00C47400" w:rsidRDefault="00C4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8" w:rsidRDefault="00886C7B" w:rsidP="0044010B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37D28" w:rsidRDefault="00C47400" w:rsidP="00937D28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8" w:rsidRPr="00937D28" w:rsidRDefault="00886C7B" w:rsidP="0044010B">
    <w:pPr>
      <w:pStyle w:val="Altbilgi"/>
      <w:framePr w:wrap="around" w:vAnchor="text" w:hAnchor="margin" w:y="1"/>
      <w:rPr>
        <w:rStyle w:val="SayfaNumaras"/>
        <w:rFonts w:ascii="Arial" w:hAnsi="Arial" w:cs="Arial"/>
        <w:b/>
        <w:sz w:val="20"/>
        <w:szCs w:val="20"/>
      </w:rPr>
    </w:pPr>
    <w:r w:rsidRPr="00937D28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937D28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937D28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FE606B">
      <w:rPr>
        <w:rStyle w:val="SayfaNumaras"/>
        <w:rFonts w:ascii="Arial" w:hAnsi="Arial" w:cs="Arial"/>
        <w:b/>
        <w:noProof/>
        <w:sz w:val="20"/>
        <w:szCs w:val="20"/>
      </w:rPr>
      <w:t>4</w:t>
    </w:r>
    <w:r w:rsidRPr="00937D28">
      <w:rPr>
        <w:rStyle w:val="SayfaNumaras"/>
        <w:rFonts w:ascii="Arial" w:hAnsi="Arial" w:cs="Arial"/>
        <w:b/>
        <w:sz w:val="20"/>
        <w:szCs w:val="20"/>
      </w:rPr>
      <w:fldChar w:fldCharType="end"/>
    </w:r>
  </w:p>
  <w:p w:rsidR="00937D28" w:rsidRPr="00937D28" w:rsidRDefault="00C47400" w:rsidP="00937D28">
    <w:pPr>
      <w:pStyle w:val="Altbilgi"/>
      <w:ind w:firstLine="36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8" w:rsidRDefault="00C474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00" w:rsidRDefault="00C47400">
      <w:r>
        <w:separator/>
      </w:r>
    </w:p>
  </w:footnote>
  <w:footnote w:type="continuationSeparator" w:id="0">
    <w:p w:rsidR="00C47400" w:rsidRDefault="00C4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8" w:rsidRDefault="00C474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DC" w:rsidRDefault="00886C7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310" cy="10686415"/>
          <wp:effectExtent l="0" t="0" r="2540" b="635"/>
          <wp:wrapNone/>
          <wp:docPr id="1" name="Resim 1" descr="Antetli-Kagit---Wor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Kagit---Wor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28" w:rsidRDefault="00C474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902"/>
    <w:multiLevelType w:val="multilevel"/>
    <w:tmpl w:val="A30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E2847"/>
    <w:multiLevelType w:val="hybridMultilevel"/>
    <w:tmpl w:val="4F109C36"/>
    <w:lvl w:ilvl="0" w:tplc="14C8955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495"/>
    <w:multiLevelType w:val="multilevel"/>
    <w:tmpl w:val="51E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0F"/>
    <w:rsid w:val="005B2ADF"/>
    <w:rsid w:val="005E340F"/>
    <w:rsid w:val="00886C7B"/>
    <w:rsid w:val="00C47400"/>
    <w:rsid w:val="00E27C4D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7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C7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C7B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86C7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C7B"/>
    <w:rPr>
      <w:rFonts w:ascii="Cambria" w:eastAsia="MS Mincho" w:hAnsi="Cambria" w:cs="Times New Roman"/>
      <w:sz w:val="24"/>
      <w:szCs w:val="24"/>
      <w:lang w:val="en-US"/>
    </w:rPr>
  </w:style>
  <w:style w:type="character" w:styleId="SayfaNumaras">
    <w:name w:val="page number"/>
    <w:uiPriority w:val="99"/>
    <w:semiHidden/>
    <w:unhideWhenUsed/>
    <w:rsid w:val="00886C7B"/>
  </w:style>
  <w:style w:type="paragraph" w:styleId="BalonMetni">
    <w:name w:val="Balloon Text"/>
    <w:basedOn w:val="Normal"/>
    <w:link w:val="BalonMetniChar"/>
    <w:uiPriority w:val="99"/>
    <w:semiHidden/>
    <w:unhideWhenUsed/>
    <w:rsid w:val="00FE60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06B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7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C7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C7B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86C7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C7B"/>
    <w:rPr>
      <w:rFonts w:ascii="Cambria" w:eastAsia="MS Mincho" w:hAnsi="Cambria" w:cs="Times New Roman"/>
      <w:sz w:val="24"/>
      <w:szCs w:val="24"/>
      <w:lang w:val="en-US"/>
    </w:rPr>
  </w:style>
  <w:style w:type="character" w:styleId="SayfaNumaras">
    <w:name w:val="page number"/>
    <w:uiPriority w:val="99"/>
    <w:semiHidden/>
    <w:unhideWhenUsed/>
    <w:rsid w:val="00886C7B"/>
  </w:style>
  <w:style w:type="paragraph" w:styleId="BalonMetni">
    <w:name w:val="Balloon Text"/>
    <w:basedOn w:val="Normal"/>
    <w:link w:val="BalonMetniChar"/>
    <w:uiPriority w:val="99"/>
    <w:semiHidden/>
    <w:unhideWhenUsed/>
    <w:rsid w:val="00FE60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06B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9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2BCD2"/>
                            <w:left w:val="single" w:sz="6" w:space="10" w:color="A2BCD2"/>
                            <w:bottom w:val="single" w:sz="6" w:space="8" w:color="A2BCD2"/>
                            <w:right w:val="single" w:sz="6" w:space="10" w:color="A2BCD2"/>
                          </w:divBdr>
                          <w:divsChild>
                            <w:div w:id="808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2013-01-28T12:57:00Z</dcterms:created>
  <dcterms:modified xsi:type="dcterms:W3CDTF">2013-01-28T13:03:00Z</dcterms:modified>
</cp:coreProperties>
</file>