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53" w:rsidRPr="00840E53" w:rsidRDefault="00D465CC" w:rsidP="00840E53">
      <w:pPr>
        <w:spacing w:after="0"/>
        <w:jc w:val="center"/>
        <w:rPr>
          <w:b/>
          <w:lang w:val="tr-TR"/>
        </w:rPr>
      </w:pPr>
      <w:r>
        <w:rPr>
          <w:b/>
          <w:lang w:val="tr-TR"/>
        </w:rPr>
        <w:t>KADINA KARŞI ŞİDDETİ BİTİRMEK ÜZERE BİLGİ VE İLETİŞİM FAALİYETLERİ İÇİN DESTEK</w:t>
      </w:r>
    </w:p>
    <w:p w:rsidR="00840E53" w:rsidRDefault="003F0DB8" w:rsidP="00840E53">
      <w:pPr>
        <w:spacing w:after="0"/>
        <w:jc w:val="center"/>
        <w:rPr>
          <w:lang w:val="tr-TR"/>
        </w:rPr>
      </w:pPr>
      <w:r>
        <w:rPr>
          <w:b/>
          <w:bCs/>
        </w:rPr>
        <w:t>(</w:t>
      </w:r>
      <w:r w:rsidR="00D465CC" w:rsidRPr="00D465CC">
        <w:rPr>
          <w:b/>
          <w:bCs/>
        </w:rPr>
        <w:t>JUST/2012/PROG/AG/VAW</w:t>
      </w:r>
      <w:r w:rsidR="00840E53">
        <w:rPr>
          <w:b/>
          <w:bCs/>
        </w:rPr>
        <w:t>)</w:t>
      </w:r>
    </w:p>
    <w:p w:rsidR="00840E53" w:rsidRDefault="00840E53" w:rsidP="00840E53">
      <w:pPr>
        <w:spacing w:after="0"/>
        <w:rPr>
          <w:lang w:val="tr-TR"/>
        </w:rPr>
      </w:pPr>
    </w:p>
    <w:p w:rsidR="00840E53" w:rsidRDefault="00840E53" w:rsidP="00840E53">
      <w:pPr>
        <w:spacing w:after="0"/>
        <w:rPr>
          <w:lang w:val="tr-TR"/>
        </w:rPr>
      </w:pPr>
    </w:p>
    <w:p w:rsidR="00840E53" w:rsidRDefault="00840E53" w:rsidP="00840E53">
      <w:pPr>
        <w:spacing w:after="0"/>
        <w:rPr>
          <w:lang w:val="tr-TR"/>
        </w:rPr>
      </w:pPr>
    </w:p>
    <w:p w:rsidR="00840E53" w:rsidRPr="00840E53" w:rsidRDefault="00840E53" w:rsidP="00456246">
      <w:pPr>
        <w:spacing w:after="0"/>
        <w:jc w:val="both"/>
        <w:rPr>
          <w:b/>
          <w:lang w:val="tr-TR"/>
        </w:rPr>
      </w:pPr>
      <w:r w:rsidRPr="00840E53">
        <w:rPr>
          <w:b/>
          <w:lang w:val="tr-TR"/>
        </w:rPr>
        <w:t>Başvuru Tarihleri:</w:t>
      </w:r>
    </w:p>
    <w:p w:rsidR="007329FB" w:rsidRPr="006178DC" w:rsidRDefault="007329FB" w:rsidP="00456246">
      <w:pPr>
        <w:spacing w:after="0"/>
        <w:jc w:val="both"/>
        <w:rPr>
          <w:rFonts w:cstheme="minorHAnsi"/>
          <w:lang w:val="tr-TR"/>
        </w:rPr>
      </w:pPr>
      <w:r w:rsidRPr="00284B92">
        <w:rPr>
          <w:rFonts w:cstheme="minorHAnsi"/>
          <w:lang w:val="tr-TR"/>
        </w:rPr>
        <w:t>Bütün başvurular en g</w:t>
      </w:r>
      <w:r w:rsidR="00DC55F9" w:rsidRPr="00284B92">
        <w:rPr>
          <w:rFonts w:cstheme="minorHAnsi"/>
          <w:lang w:val="tr-TR"/>
        </w:rPr>
        <w:t>eç 16</w:t>
      </w:r>
      <w:r w:rsidRPr="00284B92">
        <w:rPr>
          <w:rFonts w:cstheme="minorHAnsi"/>
          <w:lang w:val="tr-TR"/>
        </w:rPr>
        <w:t xml:space="preserve"> </w:t>
      </w:r>
      <w:r w:rsidR="00DC55F9" w:rsidRPr="00284B92">
        <w:rPr>
          <w:rFonts w:cstheme="minorHAnsi"/>
          <w:lang w:val="tr-TR"/>
        </w:rPr>
        <w:t>Mayıs</w:t>
      </w:r>
      <w:r w:rsidRPr="00284B92">
        <w:rPr>
          <w:rFonts w:cstheme="minorHAnsi"/>
          <w:lang w:val="tr-TR"/>
        </w:rPr>
        <w:t xml:space="preserve"> 2013 tarihi </w:t>
      </w:r>
      <w:r w:rsidR="00DC55F9" w:rsidRPr="00284B92">
        <w:rPr>
          <w:rFonts w:cstheme="minorHAnsi"/>
          <w:lang w:val="tr-TR"/>
        </w:rPr>
        <w:t xml:space="preserve">ve CET 12:00 saati </w:t>
      </w:r>
      <w:r w:rsidRPr="00284B92">
        <w:rPr>
          <w:rFonts w:cstheme="minorHAnsi"/>
          <w:lang w:val="tr-TR"/>
        </w:rPr>
        <w:t xml:space="preserve">itibariyle </w:t>
      </w:r>
      <w:r w:rsidR="00DC55F9" w:rsidRPr="00284B92">
        <w:rPr>
          <w:rFonts w:cstheme="minorHAnsi"/>
          <w:lang w:val="tr-TR"/>
        </w:rPr>
        <w:t>PRIAMOS sistemi kullanılarak ulaştırılmış olmalıdır</w:t>
      </w:r>
      <w:r w:rsidRPr="00284B92">
        <w:rPr>
          <w:rFonts w:cstheme="minorHAnsi"/>
          <w:lang w:val="tr-TR"/>
        </w:rPr>
        <w:t>.</w:t>
      </w:r>
    </w:p>
    <w:p w:rsidR="00840E53" w:rsidRDefault="00840E53" w:rsidP="00456246">
      <w:pPr>
        <w:spacing w:after="0"/>
        <w:jc w:val="both"/>
        <w:rPr>
          <w:lang w:val="tr-TR"/>
        </w:rPr>
      </w:pPr>
    </w:p>
    <w:p w:rsidR="00840E53" w:rsidRPr="00840E53" w:rsidRDefault="00840E53" w:rsidP="00456246">
      <w:pPr>
        <w:spacing w:after="0"/>
        <w:jc w:val="both"/>
        <w:rPr>
          <w:b/>
          <w:lang w:val="tr-TR"/>
        </w:rPr>
      </w:pPr>
      <w:r w:rsidRPr="00840E53">
        <w:rPr>
          <w:b/>
          <w:lang w:val="tr-TR"/>
        </w:rPr>
        <w:t>Çağrının Amacı:</w:t>
      </w:r>
    </w:p>
    <w:p w:rsidR="00677ABA" w:rsidRPr="009D0B1C" w:rsidRDefault="009D5F08" w:rsidP="00456246">
      <w:pPr>
        <w:spacing w:after="0"/>
        <w:jc w:val="both"/>
      </w:pPr>
      <w:r w:rsidRPr="006E5EEF">
        <w:t>Bu çağrı</w:t>
      </w:r>
      <w:r w:rsidR="00677ABA" w:rsidRPr="006E5EEF">
        <w:t xml:space="preserve">nın amacı, </w:t>
      </w:r>
      <w:r w:rsidR="006E5EEF">
        <w:t>Avrupa Birliği’nin cinsiyet eşitliği ve insan hakları hususlarındaki hedeflerine ulaşmasında bir engel teşkil eden kadına karşı şiddet eylemlerinin önüne geçmektedir. Komisyonun 2010-2015 dönemi için belirlediği Kadın Erkek Eşitliği Stratejisi kapsamında bu hedeflere ulaşmak amacıyla çeşitli faaliyetler yürütülmektedir. Bu PROGRESS çağrısı ile birlikte kadına ve kızlara karşı şiddeti bitirmek üzere bilgi ve iletişim faaliyetleri yürüterek ulusal ortakların desteklenmesi amaçlanmaktadır.</w:t>
      </w:r>
    </w:p>
    <w:p w:rsidR="00840E53" w:rsidRDefault="00840E53" w:rsidP="00456246">
      <w:pPr>
        <w:spacing w:after="0"/>
        <w:jc w:val="both"/>
        <w:rPr>
          <w:lang w:val="tr-TR"/>
        </w:rPr>
      </w:pPr>
    </w:p>
    <w:p w:rsidR="000E62B9" w:rsidRPr="00585118" w:rsidRDefault="000E62B9" w:rsidP="00456246">
      <w:pPr>
        <w:spacing w:after="0"/>
        <w:jc w:val="both"/>
        <w:rPr>
          <w:b/>
          <w:lang w:val="tr-TR"/>
        </w:rPr>
      </w:pPr>
      <w:r w:rsidRPr="00585118">
        <w:rPr>
          <w:b/>
          <w:lang w:val="tr-TR"/>
        </w:rPr>
        <w:t>Çağrının Öncelikleri:</w:t>
      </w:r>
    </w:p>
    <w:p w:rsidR="000E62B9" w:rsidRDefault="000E62B9" w:rsidP="000E62B9">
      <w:pPr>
        <w:pStyle w:val="ListeParagraf"/>
        <w:numPr>
          <w:ilvl w:val="0"/>
          <w:numId w:val="4"/>
        </w:numPr>
        <w:spacing w:after="0"/>
        <w:jc w:val="both"/>
        <w:rPr>
          <w:lang w:val="tr-TR"/>
        </w:rPr>
      </w:pPr>
      <w:r>
        <w:rPr>
          <w:lang w:val="tr-TR"/>
        </w:rPr>
        <w:t>Kadın ve kızlara karşı şiddetin her türlüsüne karşı anlaşılır bir mesaj verilmesi.</w:t>
      </w:r>
    </w:p>
    <w:p w:rsidR="000E62B9" w:rsidRDefault="000E62B9" w:rsidP="000E62B9">
      <w:pPr>
        <w:pStyle w:val="ListeParagraf"/>
        <w:numPr>
          <w:ilvl w:val="0"/>
          <w:numId w:val="4"/>
        </w:numPr>
        <w:spacing w:after="0"/>
        <w:jc w:val="both"/>
        <w:rPr>
          <w:lang w:val="tr-TR"/>
        </w:rPr>
      </w:pPr>
      <w:r>
        <w:rPr>
          <w:lang w:val="tr-TR"/>
        </w:rPr>
        <w:t>Kadın ve kızların şiddet içermeyen bir hayat sürmeye hakları olduğu hususunda bilgilendirilmesi.</w:t>
      </w:r>
    </w:p>
    <w:p w:rsidR="000E62B9" w:rsidRPr="000E62B9" w:rsidRDefault="0029671C" w:rsidP="000E62B9">
      <w:pPr>
        <w:pStyle w:val="ListeParagraf"/>
        <w:numPr>
          <w:ilvl w:val="0"/>
          <w:numId w:val="4"/>
        </w:numPr>
        <w:spacing w:after="0"/>
        <w:jc w:val="both"/>
        <w:rPr>
          <w:lang w:val="tr-TR"/>
        </w:rPr>
      </w:pPr>
      <w:r>
        <w:rPr>
          <w:lang w:val="tr-TR"/>
        </w:rPr>
        <w:t>Kadın sünneti hususunda bilgilendirme, iletişim ve eğitim çalışmaları yapılması.</w:t>
      </w:r>
    </w:p>
    <w:p w:rsidR="000E62B9" w:rsidRDefault="000E62B9" w:rsidP="00456246">
      <w:pPr>
        <w:spacing w:after="0"/>
        <w:jc w:val="both"/>
        <w:rPr>
          <w:lang w:val="tr-TR"/>
        </w:rPr>
      </w:pPr>
    </w:p>
    <w:p w:rsidR="007229D5" w:rsidRPr="007229D5" w:rsidRDefault="007229D5" w:rsidP="00456246">
      <w:pPr>
        <w:spacing w:after="0"/>
        <w:jc w:val="both"/>
        <w:rPr>
          <w:b/>
          <w:lang w:val="tr-TR"/>
        </w:rPr>
      </w:pPr>
      <w:r w:rsidRPr="007229D5">
        <w:rPr>
          <w:b/>
          <w:lang w:val="tr-TR"/>
        </w:rPr>
        <w:t>Faaliyetler:</w:t>
      </w:r>
    </w:p>
    <w:p w:rsidR="007229D5" w:rsidRDefault="0017334D" w:rsidP="007229D5">
      <w:pPr>
        <w:pStyle w:val="ListeParagraf"/>
        <w:numPr>
          <w:ilvl w:val="0"/>
          <w:numId w:val="4"/>
        </w:numPr>
        <w:spacing w:after="0"/>
        <w:jc w:val="both"/>
        <w:rPr>
          <w:lang w:val="tr-TR"/>
        </w:rPr>
      </w:pPr>
      <w:r>
        <w:rPr>
          <w:lang w:val="tr-TR"/>
        </w:rPr>
        <w:t>Mağdur ve tanıkların şiddet eylemlerini ihbar etmesi için cesaretlendirme faaliyetleri. Bu faaliyetler farklı kadın ve kız gruplarına yönelik olarak ayrı ayrı düzenlenebilir. Örneğin genç kadınlar, hamile kadınlar, yaşlı kadınlar, göçmen kadınlar, etnik azınlıklar, mülteciler, engelliler…</w:t>
      </w:r>
    </w:p>
    <w:p w:rsidR="0017334D" w:rsidRDefault="00BA738F" w:rsidP="007229D5">
      <w:pPr>
        <w:pStyle w:val="ListeParagraf"/>
        <w:numPr>
          <w:ilvl w:val="0"/>
          <w:numId w:val="4"/>
        </w:numPr>
        <w:spacing w:after="0"/>
        <w:jc w:val="both"/>
        <w:rPr>
          <w:lang w:val="tr-TR"/>
        </w:rPr>
      </w:pPr>
      <w:r>
        <w:rPr>
          <w:lang w:val="tr-TR"/>
        </w:rPr>
        <w:t>Kadına karşı şiddetin kayıt altına alınması, araştırılması ve hukuki zemine taşınması için ilgili uzmanların eğitilmesi.</w:t>
      </w:r>
    </w:p>
    <w:p w:rsidR="00BA738F" w:rsidRDefault="00462668" w:rsidP="007229D5">
      <w:pPr>
        <w:pStyle w:val="ListeParagraf"/>
        <w:numPr>
          <w:ilvl w:val="0"/>
          <w:numId w:val="4"/>
        </w:numPr>
        <w:spacing w:after="0"/>
        <w:jc w:val="both"/>
        <w:rPr>
          <w:lang w:val="tr-TR"/>
        </w:rPr>
      </w:pPr>
      <w:r>
        <w:rPr>
          <w:lang w:val="tr-TR"/>
        </w:rPr>
        <w:t>Erkekler arasında kadına ve kızlara karşı şiddetin her türlüsüne karşı sıfır tolerans mesajlarının yayılması.</w:t>
      </w:r>
    </w:p>
    <w:p w:rsidR="00A64CE7" w:rsidRDefault="00A64CE7" w:rsidP="007229D5">
      <w:pPr>
        <w:pStyle w:val="ListeParagraf"/>
        <w:numPr>
          <w:ilvl w:val="0"/>
          <w:numId w:val="4"/>
        </w:numPr>
        <w:spacing w:after="0"/>
        <w:jc w:val="both"/>
        <w:rPr>
          <w:lang w:val="tr-TR"/>
        </w:rPr>
      </w:pPr>
      <w:r>
        <w:rPr>
          <w:lang w:val="tr-TR"/>
        </w:rPr>
        <w:t>Avrupa Birliği içerisinde kadın sünnetinin yasak olduğu hususunda ilgili topluluklar arasında bilgilendirme faaliyetleri yürütülmesi</w:t>
      </w:r>
      <w:r w:rsidR="007206C6">
        <w:rPr>
          <w:lang w:val="tr-TR"/>
        </w:rPr>
        <w:t>.</w:t>
      </w:r>
    </w:p>
    <w:p w:rsidR="00AE3007" w:rsidRDefault="00AE3007" w:rsidP="007229D5">
      <w:pPr>
        <w:pStyle w:val="ListeParagraf"/>
        <w:numPr>
          <w:ilvl w:val="0"/>
          <w:numId w:val="4"/>
        </w:numPr>
        <w:spacing w:after="0"/>
        <w:jc w:val="both"/>
        <w:rPr>
          <w:lang w:val="tr-TR"/>
        </w:rPr>
      </w:pPr>
      <w:r>
        <w:rPr>
          <w:lang w:val="tr-TR"/>
        </w:rPr>
        <w:t>Kadın sünneti mağdurları ve olası mağdularıyla çalışmalar yürüten uzmanların bilgilendirilmesi ve desteklenmesi.</w:t>
      </w:r>
    </w:p>
    <w:p w:rsidR="008F692B" w:rsidRPr="008F692B" w:rsidRDefault="008F692B" w:rsidP="008F692B">
      <w:pPr>
        <w:spacing w:after="0"/>
        <w:jc w:val="both"/>
        <w:rPr>
          <w:lang w:val="tr-TR"/>
        </w:rPr>
      </w:pPr>
    </w:p>
    <w:p w:rsidR="00840E53" w:rsidRDefault="00840E53" w:rsidP="00456246">
      <w:pPr>
        <w:spacing w:after="0"/>
        <w:jc w:val="both"/>
        <w:rPr>
          <w:b/>
          <w:lang w:val="tr-TR"/>
        </w:rPr>
      </w:pPr>
      <w:r w:rsidRPr="00840E53">
        <w:rPr>
          <w:b/>
          <w:lang w:val="tr-TR"/>
        </w:rPr>
        <w:t>Kimler Başvurabilir?</w:t>
      </w:r>
    </w:p>
    <w:p w:rsidR="00E944D6" w:rsidRDefault="00E944D6" w:rsidP="00456246">
      <w:pPr>
        <w:pStyle w:val="ListeParagraf"/>
        <w:numPr>
          <w:ilvl w:val="0"/>
          <w:numId w:val="2"/>
        </w:numPr>
        <w:spacing w:after="0"/>
        <w:jc w:val="both"/>
        <w:rPr>
          <w:lang w:val="tr-TR"/>
        </w:rPr>
      </w:pPr>
      <w:r w:rsidRPr="00991F37">
        <w:rPr>
          <w:lang w:val="tr-TR"/>
        </w:rPr>
        <w:t>Bu çağrı,</w:t>
      </w:r>
      <w:r w:rsidR="006F526F" w:rsidRPr="00991F37">
        <w:rPr>
          <w:lang w:val="tr-TR"/>
        </w:rPr>
        <w:t xml:space="preserve"> 27 üye ülkeden</w:t>
      </w:r>
      <w:r w:rsidRPr="00991F37">
        <w:rPr>
          <w:lang w:val="tr-TR"/>
        </w:rPr>
        <w:t>, EEA ülkelerin</w:t>
      </w:r>
      <w:r w:rsidR="006F526F" w:rsidRPr="00991F37">
        <w:rPr>
          <w:lang w:val="tr-TR"/>
        </w:rPr>
        <w:t>d</w:t>
      </w:r>
      <w:r w:rsidRPr="00991F37">
        <w:rPr>
          <w:lang w:val="tr-TR"/>
        </w:rPr>
        <w:t>e</w:t>
      </w:r>
      <w:r w:rsidR="006F526F" w:rsidRPr="00991F37">
        <w:rPr>
          <w:lang w:val="tr-TR"/>
        </w:rPr>
        <w:t>n</w:t>
      </w:r>
      <w:r w:rsidRPr="00991F37">
        <w:rPr>
          <w:lang w:val="tr-TR"/>
        </w:rPr>
        <w:t xml:space="preserve"> (İzlanda, Lihtenştayn ve Norveç), Hırvatistan, Makedonya Eski Yugoslav Cumhuriyeti, Sırbistan ve Türkiye’den katılımlara açıktır.</w:t>
      </w:r>
    </w:p>
    <w:p w:rsidR="00991F37" w:rsidRDefault="00991F37" w:rsidP="00456246">
      <w:pPr>
        <w:pStyle w:val="ListeParagraf"/>
        <w:numPr>
          <w:ilvl w:val="0"/>
          <w:numId w:val="2"/>
        </w:numPr>
        <w:spacing w:after="0"/>
        <w:jc w:val="both"/>
        <w:rPr>
          <w:lang w:val="tr-TR"/>
        </w:rPr>
      </w:pPr>
      <w:r>
        <w:rPr>
          <w:lang w:val="tr-TR"/>
        </w:rPr>
        <w:t xml:space="preserve">Her katılımcı ülke yalnızca </w:t>
      </w:r>
      <w:r w:rsidR="00507FC2">
        <w:rPr>
          <w:lang w:val="tr-TR"/>
        </w:rPr>
        <w:t xml:space="preserve">tek </w:t>
      </w:r>
      <w:r>
        <w:rPr>
          <w:lang w:val="tr-TR"/>
        </w:rPr>
        <w:t>bir başvuruda bulunabilir.</w:t>
      </w:r>
    </w:p>
    <w:p w:rsidR="002773C5" w:rsidRPr="00991F37" w:rsidRDefault="002773C5" w:rsidP="00456246">
      <w:pPr>
        <w:pStyle w:val="ListeParagraf"/>
        <w:numPr>
          <w:ilvl w:val="0"/>
          <w:numId w:val="2"/>
        </w:numPr>
        <w:spacing w:after="0"/>
        <w:jc w:val="both"/>
        <w:rPr>
          <w:lang w:val="tr-TR"/>
        </w:rPr>
      </w:pPr>
      <w:r>
        <w:rPr>
          <w:lang w:val="tr-TR"/>
        </w:rPr>
        <w:t>Katılımcı ülkelerde kadın erkek eşitliği hususunda çalışmalar yürüten ulusal bakanlıklar veya ulusal seviyede cinsiyet eşitliği hususunda yetkili kurumlar veya katılımcı ülkelerdeki diğer bakanlıklar</w:t>
      </w:r>
      <w:r w:rsidR="00872515">
        <w:rPr>
          <w:lang w:val="tr-TR"/>
        </w:rPr>
        <w:t xml:space="preserve"> başvuruda bulunabilir</w:t>
      </w:r>
      <w:r w:rsidR="00EE307E">
        <w:rPr>
          <w:lang w:val="tr-TR"/>
        </w:rPr>
        <w:t>ler</w:t>
      </w:r>
      <w:r w:rsidR="00872515">
        <w:rPr>
          <w:lang w:val="tr-TR"/>
        </w:rPr>
        <w:t>.</w:t>
      </w:r>
      <w:bookmarkStart w:id="0" w:name="_GoBack"/>
      <w:bookmarkEnd w:id="0"/>
    </w:p>
    <w:p w:rsidR="00840E53" w:rsidRDefault="00840E53" w:rsidP="00456246">
      <w:pPr>
        <w:spacing w:after="0"/>
        <w:jc w:val="both"/>
        <w:rPr>
          <w:lang w:val="tr-TR"/>
        </w:rPr>
      </w:pPr>
    </w:p>
    <w:p w:rsidR="00840E53" w:rsidRDefault="00B74759" w:rsidP="00456246">
      <w:pPr>
        <w:spacing w:after="0"/>
        <w:jc w:val="both"/>
        <w:rPr>
          <w:b/>
          <w:lang w:val="tr-TR"/>
        </w:rPr>
      </w:pPr>
      <w:r>
        <w:rPr>
          <w:b/>
          <w:lang w:val="tr-TR"/>
        </w:rPr>
        <w:lastRenderedPageBreak/>
        <w:t>Proje</w:t>
      </w:r>
      <w:r w:rsidR="00840E53" w:rsidRPr="00840E53">
        <w:rPr>
          <w:b/>
          <w:lang w:val="tr-TR"/>
        </w:rPr>
        <w:t xml:space="preserve"> Koşulları:</w:t>
      </w:r>
    </w:p>
    <w:p w:rsidR="00D619B0" w:rsidRPr="00D619B0" w:rsidRDefault="00D619B0" w:rsidP="00456246">
      <w:pPr>
        <w:pStyle w:val="ListeParagraf"/>
        <w:numPr>
          <w:ilvl w:val="0"/>
          <w:numId w:val="1"/>
        </w:numPr>
        <w:spacing w:after="0"/>
        <w:jc w:val="both"/>
        <w:rPr>
          <w:rFonts w:cstheme="minorHAnsi"/>
          <w:lang w:val="tr-TR"/>
        </w:rPr>
      </w:pPr>
      <w:r w:rsidRPr="00D619B0">
        <w:rPr>
          <w:rFonts w:cstheme="minorHAnsi"/>
        </w:rPr>
        <w:t>Faaliyetlerin en fazla 24 ay sürmesi ve 2013 yılı içerisinde başlaması gerekmektedir.</w:t>
      </w:r>
    </w:p>
    <w:p w:rsidR="00D619B0" w:rsidRPr="00861E68" w:rsidRDefault="00D619B0" w:rsidP="00456246">
      <w:pPr>
        <w:pStyle w:val="ListeParagraf"/>
        <w:numPr>
          <w:ilvl w:val="0"/>
          <w:numId w:val="1"/>
        </w:numPr>
        <w:spacing w:after="0"/>
        <w:jc w:val="both"/>
        <w:rPr>
          <w:rFonts w:cstheme="minorHAnsi"/>
          <w:lang w:val="tr-TR"/>
        </w:rPr>
      </w:pPr>
      <w:r w:rsidRPr="00D619B0">
        <w:rPr>
          <w:rFonts w:cstheme="minorHAnsi"/>
        </w:rPr>
        <w:t xml:space="preserve">Bu teklif çağrısı için toplam bütçe </w:t>
      </w:r>
      <w:r w:rsidRPr="00D619B0">
        <w:rPr>
          <w:rFonts w:cstheme="minorHAnsi"/>
        </w:rPr>
        <w:t xml:space="preserve">€ </w:t>
      </w:r>
      <w:r w:rsidRPr="00D619B0">
        <w:rPr>
          <w:rFonts w:cstheme="minorHAnsi"/>
          <w:lang w:val="tr-TR"/>
        </w:rPr>
        <w:t xml:space="preserve"> </w:t>
      </w:r>
      <w:r w:rsidRPr="00D619B0">
        <w:rPr>
          <w:rFonts w:cstheme="minorHAnsi"/>
        </w:rPr>
        <w:t>3.700.000 olarak belirlenmiştir.</w:t>
      </w:r>
    </w:p>
    <w:p w:rsidR="00861E68" w:rsidRDefault="00861E68" w:rsidP="00456246">
      <w:pPr>
        <w:pStyle w:val="ListeParagraf"/>
        <w:numPr>
          <w:ilvl w:val="0"/>
          <w:numId w:val="1"/>
        </w:numPr>
        <w:spacing w:after="0"/>
        <w:jc w:val="both"/>
        <w:rPr>
          <w:rFonts w:cstheme="minorHAnsi"/>
          <w:lang w:val="tr-TR"/>
        </w:rPr>
      </w:pPr>
      <w:r>
        <w:rPr>
          <w:rFonts w:cstheme="minorHAnsi"/>
        </w:rPr>
        <w:t xml:space="preserve">Hibe başvuruları en az </w:t>
      </w:r>
      <w:r w:rsidRPr="00D619B0">
        <w:rPr>
          <w:rFonts w:cstheme="minorHAnsi"/>
        </w:rPr>
        <w:t xml:space="preserve">€ </w:t>
      </w:r>
      <w:r w:rsidRPr="00D619B0">
        <w:rPr>
          <w:rFonts w:cstheme="minorHAnsi"/>
          <w:lang w:val="tr-TR"/>
        </w:rPr>
        <w:t xml:space="preserve"> </w:t>
      </w:r>
      <w:r>
        <w:rPr>
          <w:rFonts w:cstheme="minorHAnsi"/>
          <w:lang w:val="tr-TR"/>
        </w:rPr>
        <w:t xml:space="preserve">100.000 ve en fazla </w:t>
      </w:r>
      <w:r w:rsidRPr="00D619B0">
        <w:rPr>
          <w:rFonts w:cstheme="minorHAnsi"/>
        </w:rPr>
        <w:t xml:space="preserve">€ </w:t>
      </w:r>
      <w:r w:rsidRPr="00D619B0">
        <w:rPr>
          <w:rFonts w:cstheme="minorHAnsi"/>
          <w:lang w:val="tr-TR"/>
        </w:rPr>
        <w:t xml:space="preserve"> </w:t>
      </w:r>
      <w:r>
        <w:rPr>
          <w:rFonts w:cstheme="minorHAnsi"/>
          <w:lang w:val="tr-TR"/>
        </w:rPr>
        <w:t xml:space="preserve">400.000 tutarında olmalıdır. </w:t>
      </w:r>
      <w:r>
        <w:rPr>
          <w:rFonts w:cstheme="minorHAnsi"/>
        </w:rPr>
        <w:t>€</w:t>
      </w:r>
      <w:r w:rsidRPr="00D619B0">
        <w:rPr>
          <w:rFonts w:cstheme="minorHAnsi"/>
          <w:lang w:val="tr-TR"/>
        </w:rPr>
        <w:t xml:space="preserve"> </w:t>
      </w:r>
      <w:r>
        <w:rPr>
          <w:rFonts w:cstheme="minorHAnsi"/>
          <w:lang w:val="tr-TR"/>
        </w:rPr>
        <w:t>200.000 tutarındaki başvurular öncelikli olarak değerlendirilecektir.</w:t>
      </w:r>
    </w:p>
    <w:p w:rsidR="009F5DDE" w:rsidRPr="00D619B0" w:rsidRDefault="009F5DDE" w:rsidP="00456246">
      <w:pPr>
        <w:pStyle w:val="ListeParagraf"/>
        <w:numPr>
          <w:ilvl w:val="0"/>
          <w:numId w:val="1"/>
        </w:numPr>
        <w:spacing w:after="0"/>
        <w:jc w:val="both"/>
        <w:rPr>
          <w:rFonts w:cstheme="minorHAnsi"/>
          <w:lang w:val="tr-TR"/>
        </w:rPr>
      </w:pPr>
      <w:r>
        <w:rPr>
          <w:rFonts w:cstheme="minorHAnsi"/>
          <w:lang w:val="tr-TR"/>
        </w:rPr>
        <w:t>Başvurular için Avrupa Birliği katkısı en fazla %80 olmalıdır.</w:t>
      </w:r>
    </w:p>
    <w:p w:rsidR="00840E53" w:rsidRDefault="00840E53" w:rsidP="00456246">
      <w:pPr>
        <w:spacing w:after="0"/>
        <w:jc w:val="both"/>
        <w:rPr>
          <w:lang w:val="tr-TR"/>
        </w:rPr>
      </w:pPr>
    </w:p>
    <w:p w:rsidR="00840E53" w:rsidRPr="00840E53" w:rsidRDefault="00840E53" w:rsidP="00456246">
      <w:pPr>
        <w:spacing w:after="0"/>
        <w:jc w:val="both"/>
        <w:rPr>
          <w:b/>
          <w:lang w:val="tr-TR"/>
        </w:rPr>
      </w:pPr>
      <w:r w:rsidRPr="00840E53">
        <w:rPr>
          <w:b/>
          <w:lang w:val="tr-TR"/>
        </w:rPr>
        <w:t>Ayrıntılı bilgi için bakınız:</w:t>
      </w:r>
    </w:p>
    <w:p w:rsidR="00574A48" w:rsidRDefault="00665C16" w:rsidP="00574A48">
      <w:pPr>
        <w:jc w:val="both"/>
      </w:pPr>
      <w:hyperlink r:id="rId6" w:history="1">
        <w:r w:rsidRPr="00E92FE3">
          <w:rPr>
            <w:rStyle w:val="Kpr"/>
          </w:rPr>
          <w:t>http://ec.europa.eu/justice/newsroom/grants/just_2012_prog_ag_vaw_en.htm</w:t>
        </w:r>
      </w:hyperlink>
    </w:p>
    <w:p w:rsidR="00665C16" w:rsidRPr="00840E53" w:rsidRDefault="00665C16" w:rsidP="00574A48">
      <w:pPr>
        <w:jc w:val="both"/>
      </w:pPr>
    </w:p>
    <w:sectPr w:rsidR="00665C16" w:rsidRPr="00840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C31F2"/>
    <w:multiLevelType w:val="hybridMultilevel"/>
    <w:tmpl w:val="0CF80692"/>
    <w:lvl w:ilvl="0" w:tplc="A34073C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392562C"/>
    <w:multiLevelType w:val="hybridMultilevel"/>
    <w:tmpl w:val="D5C80052"/>
    <w:lvl w:ilvl="0" w:tplc="02806B2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C81502"/>
    <w:multiLevelType w:val="hybridMultilevel"/>
    <w:tmpl w:val="2B30319C"/>
    <w:lvl w:ilvl="0" w:tplc="794837E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D6E6483"/>
    <w:multiLevelType w:val="hybridMultilevel"/>
    <w:tmpl w:val="C344B10A"/>
    <w:lvl w:ilvl="0" w:tplc="714AC1B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9A"/>
    <w:rsid w:val="0007449A"/>
    <w:rsid w:val="000E33F9"/>
    <w:rsid w:val="000E62B9"/>
    <w:rsid w:val="0017334D"/>
    <w:rsid w:val="001B3ABD"/>
    <w:rsid w:val="002773C5"/>
    <w:rsid w:val="00284B92"/>
    <w:rsid w:val="0029671C"/>
    <w:rsid w:val="002D5AAD"/>
    <w:rsid w:val="002E1FE1"/>
    <w:rsid w:val="00306FF2"/>
    <w:rsid w:val="00384CD4"/>
    <w:rsid w:val="003C0B7F"/>
    <w:rsid w:val="003F0DB8"/>
    <w:rsid w:val="00456246"/>
    <w:rsid w:val="00462668"/>
    <w:rsid w:val="004A2F51"/>
    <w:rsid w:val="004B537B"/>
    <w:rsid w:val="00502016"/>
    <w:rsid w:val="00507FC2"/>
    <w:rsid w:val="0052703B"/>
    <w:rsid w:val="00574A48"/>
    <w:rsid w:val="00585118"/>
    <w:rsid w:val="006178DC"/>
    <w:rsid w:val="00644143"/>
    <w:rsid w:val="00665C16"/>
    <w:rsid w:val="00677ABA"/>
    <w:rsid w:val="006E5EEF"/>
    <w:rsid w:val="006F526F"/>
    <w:rsid w:val="007206C6"/>
    <w:rsid w:val="007229D5"/>
    <w:rsid w:val="00727D71"/>
    <w:rsid w:val="007329FB"/>
    <w:rsid w:val="00791CFC"/>
    <w:rsid w:val="007962B1"/>
    <w:rsid w:val="00840E53"/>
    <w:rsid w:val="00861E68"/>
    <w:rsid w:val="00865BAA"/>
    <w:rsid w:val="00872515"/>
    <w:rsid w:val="008B54C0"/>
    <w:rsid w:val="008E2CC5"/>
    <w:rsid w:val="008F692B"/>
    <w:rsid w:val="00991F37"/>
    <w:rsid w:val="009D0B1C"/>
    <w:rsid w:val="009D5F08"/>
    <w:rsid w:val="009F5DDE"/>
    <w:rsid w:val="00A40F57"/>
    <w:rsid w:val="00A5658E"/>
    <w:rsid w:val="00A64CE7"/>
    <w:rsid w:val="00AC150E"/>
    <w:rsid w:val="00AE3007"/>
    <w:rsid w:val="00B74759"/>
    <w:rsid w:val="00BA738F"/>
    <w:rsid w:val="00BC2B48"/>
    <w:rsid w:val="00CF5F8D"/>
    <w:rsid w:val="00D465CC"/>
    <w:rsid w:val="00D619B0"/>
    <w:rsid w:val="00DC55F9"/>
    <w:rsid w:val="00E944D6"/>
    <w:rsid w:val="00EE307E"/>
    <w:rsid w:val="00F20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0E53"/>
    <w:rPr>
      <w:color w:val="0000FF"/>
      <w:u w:val="single"/>
    </w:rPr>
  </w:style>
  <w:style w:type="paragraph" w:styleId="ListeParagraf">
    <w:name w:val="List Paragraph"/>
    <w:basedOn w:val="Normal"/>
    <w:uiPriority w:val="34"/>
    <w:qFormat/>
    <w:rsid w:val="004B5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0E53"/>
    <w:rPr>
      <w:color w:val="0000FF"/>
      <w:u w:val="single"/>
    </w:rPr>
  </w:style>
  <w:style w:type="paragraph" w:styleId="ListeParagraf">
    <w:name w:val="List Paragraph"/>
    <w:basedOn w:val="Normal"/>
    <w:uiPriority w:val="34"/>
    <w:qFormat/>
    <w:rsid w:val="004B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justice/newsroom/grants/just_2012_prog_ag_vaw_e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434</Words>
  <Characters>2476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Çağrı Ergani</dc:creator>
  <cp:keywords/>
  <dc:description/>
  <cp:lastModifiedBy>Çağrı Ergani</cp:lastModifiedBy>
  <cp:revision>63</cp:revision>
  <dcterms:created xsi:type="dcterms:W3CDTF">2012-11-13T12:53:00Z</dcterms:created>
  <dcterms:modified xsi:type="dcterms:W3CDTF">2013-04-02T07:09:00Z</dcterms:modified>
</cp:coreProperties>
</file>